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414"/>
        <w:gridCol w:w="4414"/>
      </w:tblGrid>
      <w:tr w:rsidR="00D64473" w:rsidRPr="00365ED7" w:rsidTr="00365ED7">
        <w:tc>
          <w:tcPr>
            <w:tcW w:w="4414" w:type="dxa"/>
          </w:tcPr>
          <w:p w:rsidR="00D64473" w:rsidRPr="001F6999" w:rsidRDefault="00365ED7" w:rsidP="001F6999">
            <w:pPr>
              <w:jc w:val="center"/>
              <w:rPr>
                <w:b/>
                <w:sz w:val="20"/>
                <w:szCs w:val="20"/>
              </w:rPr>
            </w:pPr>
            <w:r w:rsidRPr="001F6999">
              <w:rPr>
                <w:b/>
                <w:sz w:val="20"/>
                <w:szCs w:val="20"/>
              </w:rPr>
              <w:t>Texto</w:t>
            </w:r>
          </w:p>
        </w:tc>
        <w:tc>
          <w:tcPr>
            <w:tcW w:w="4414" w:type="dxa"/>
          </w:tcPr>
          <w:p w:rsidR="00D64473" w:rsidRPr="001F6999" w:rsidRDefault="00F1029A" w:rsidP="001F6999">
            <w:pPr>
              <w:jc w:val="center"/>
              <w:rPr>
                <w:b/>
                <w:sz w:val="20"/>
                <w:szCs w:val="20"/>
              </w:rPr>
            </w:pPr>
            <w:r w:rsidRPr="001F6999">
              <w:rPr>
                <w:b/>
                <w:sz w:val="20"/>
                <w:szCs w:val="20"/>
              </w:rPr>
              <w:t>corrección</w:t>
            </w:r>
          </w:p>
        </w:tc>
      </w:tr>
      <w:tr w:rsidR="00D64473" w:rsidRPr="00365ED7" w:rsidTr="00365ED7">
        <w:tc>
          <w:tcPr>
            <w:tcW w:w="4414" w:type="dxa"/>
          </w:tcPr>
          <w:p w:rsidR="00D64473" w:rsidRPr="00365ED7" w:rsidRDefault="00D64473" w:rsidP="001F6999">
            <w:pPr>
              <w:jc w:val="both"/>
              <w:rPr>
                <w:sz w:val="20"/>
                <w:szCs w:val="20"/>
              </w:rPr>
            </w:pPr>
            <w:r w:rsidRPr="00365ED7">
              <w:rPr>
                <w:sz w:val="20"/>
                <w:szCs w:val="20"/>
              </w:rPr>
              <w:fldChar w:fldCharType="begin"/>
            </w:r>
            <w:r w:rsidRPr="00365ED7">
              <w:rPr>
                <w:sz w:val="20"/>
                <w:szCs w:val="20"/>
              </w:rPr>
              <w:instrText xml:space="preserve"> ADDIN ZOTERO_ITEM CSL_CITATION {"citationID":"BnIMRhUb","properties":{"formattedCitation":"{\\rtf (Rodr\\uc0\\u237{}guez &amp; Santiago, 2015)}","plainCitation":"(Rodríguez &amp; Santiago, 2015)"},"citationItems":[{"id":2234,"uris":["http://zotero.org/users/2983295/items/2QJIFV3M"],"uri":["http://zotero.org/users/2983295/items/2QJIFV3M"],"itemData":{"id":2234,"type":"book","title":"Gamificación: Cómo motivar a tu alumnado y mejorar el clima en el aula","publisher":"Editorial Oceano","number-of-pages":"277","source":"Google Books","abstract":"En pocas ocasiones durante la historia nos hemos visto en una oportunidad tan importante de convertirnos en verdaderos protagonistas del cambio metodológico al que se dirige la educación. Hay que aprovechar el momento y actuar, porque en muy pocos años podremos decir eso de: “¡Ahí estuve yo!”.Este libro va dedicado a todos aquellos docentes que sienten que está llegando su momento, y a aquellos que ya llevan empujando desde dentro de sus centros la necesidad de un cambio, aplicando cada día nuevas fórmulas para enriquecer el aprendizaje de sus alumnos. El aprendizaje digital está para quedarse, las nuevas tecnologías se siguen llamando “nuevas” porque aún están esperando a que muchos docentes se animen y empiecen a usarlas como práctica diaria en sus clases. El futuro ya está aquí y ahora solo toca repartirlo.Precisamente, una de las tendencias que parece estarse consolidando con más fuerza es la Gamificación. Su objetivo en el terreno de la educación no es otro que llevar la motivación al proceso de enseñanza y aprendizaje, mediante la incorporación de elementos y técnicas de juego. Un proceso que, bien utilizado, incorpora unas extraordinarias ventajas a la hora de enriquecer la relación entre docentes y alumnos mejorando así el clima en el aula. No olvidemos que los alumnos aprenden solo de aquellos educadores que son capaces de motivarles, de inspirarles, de sacar lo mejor que tienen dentro. Hemos preguntado a más de 1.000 alumnos de entre 10 y 14 años sobre cómo sería su clase ideal. En un 75% de los casos apareció la palabra “Diversión”. Los alumnos quieren pasárselo bien en clase, y eso no está reñido, ni mucho menos, con el aprendizaje; todo lo contrario, solo aprendemos cuando estamos motivados, cuando hay factores internos o externos que nos animan a poner interés en aquellas cosas que debemos hacer. Sean o no aburridas, el reto de la Gamificación es convertirlas en divertidas","ISBN":"978-84-944394-5-2","note":"Google-Books-ID: NivPCgAAQBAJ","shortTitle":"Gamificación","language":"es","author":[{"family":"Rodríguez","given":"F."},{"family":"Santiago","given":"R."}],"issued":{"date-parts":[["2015",10,28]]}}}],"schema":"https://github.com/citation-style-language/schema/raw/master/csl-citation.json"} </w:instrText>
            </w:r>
            <w:r w:rsidRPr="00365ED7">
              <w:rPr>
                <w:sz w:val="20"/>
                <w:szCs w:val="20"/>
              </w:rPr>
              <w:fldChar w:fldCharType="separate"/>
            </w:r>
            <w:r w:rsidRPr="00365ED7">
              <w:rPr>
                <w:sz w:val="20"/>
                <w:szCs w:val="20"/>
              </w:rPr>
              <w:t>(Rodríguez &amp; Santiago, 2015)</w:t>
            </w:r>
            <w:r w:rsidRPr="00365ED7">
              <w:rPr>
                <w:sz w:val="20"/>
                <w:szCs w:val="20"/>
              </w:rPr>
              <w:fldChar w:fldCharType="end"/>
            </w:r>
          </w:p>
        </w:tc>
        <w:tc>
          <w:tcPr>
            <w:tcW w:w="4414" w:type="dxa"/>
          </w:tcPr>
          <w:p w:rsidR="00D64473" w:rsidRPr="00365ED7" w:rsidRDefault="00D64473" w:rsidP="001F6999">
            <w:pPr>
              <w:jc w:val="both"/>
              <w:rPr>
                <w:sz w:val="20"/>
                <w:szCs w:val="20"/>
              </w:rPr>
            </w:pPr>
            <w:r w:rsidRPr="00365ED7">
              <w:rPr>
                <w:sz w:val="20"/>
                <w:szCs w:val="20"/>
              </w:rPr>
              <w:t xml:space="preserve">Se agregó lugar e edición </w:t>
            </w:r>
          </w:p>
        </w:tc>
      </w:tr>
      <w:tr w:rsidR="00244E24" w:rsidRPr="00365ED7" w:rsidTr="00365ED7">
        <w:tc>
          <w:tcPr>
            <w:tcW w:w="4414" w:type="dxa"/>
          </w:tcPr>
          <w:p w:rsidR="00244E24" w:rsidRPr="00365ED7" w:rsidRDefault="00244E24" w:rsidP="001F6999">
            <w:pPr>
              <w:jc w:val="both"/>
              <w:rPr>
                <w:sz w:val="20"/>
                <w:szCs w:val="20"/>
              </w:rPr>
            </w:pPr>
            <w:r w:rsidRPr="00365ED7">
              <w:rPr>
                <w:sz w:val="20"/>
                <w:szCs w:val="20"/>
              </w:rPr>
              <w:t>Rodríguez y Santiago, 2015</w:t>
            </w:r>
          </w:p>
        </w:tc>
        <w:tc>
          <w:tcPr>
            <w:tcW w:w="4414" w:type="dxa"/>
          </w:tcPr>
          <w:p w:rsidR="00244E24" w:rsidRPr="00365ED7" w:rsidRDefault="00244E24" w:rsidP="001F6999">
            <w:pPr>
              <w:jc w:val="both"/>
              <w:rPr>
                <w:sz w:val="20"/>
                <w:szCs w:val="20"/>
              </w:rPr>
            </w:pPr>
            <w:r w:rsidRPr="00365ED7">
              <w:rPr>
                <w:sz w:val="20"/>
                <w:szCs w:val="20"/>
              </w:rPr>
              <w:t>Rodríguez &amp; Santiago, 2015</w:t>
            </w:r>
          </w:p>
        </w:tc>
      </w:tr>
      <w:tr w:rsidR="00D64473" w:rsidRPr="00365ED7" w:rsidTr="00365ED7">
        <w:tc>
          <w:tcPr>
            <w:tcW w:w="4414" w:type="dxa"/>
          </w:tcPr>
          <w:p w:rsidR="00D64473" w:rsidRPr="00365ED7" w:rsidRDefault="00F1029A" w:rsidP="001F6999">
            <w:pPr>
              <w:jc w:val="both"/>
              <w:rPr>
                <w:sz w:val="20"/>
                <w:szCs w:val="20"/>
              </w:rPr>
            </w:pPr>
            <w:r w:rsidRPr="00365ED7">
              <w:rPr>
                <w:sz w:val="20"/>
                <w:szCs w:val="20"/>
              </w:rPr>
              <w:fldChar w:fldCharType="begin"/>
            </w:r>
            <w:r w:rsidRPr="00365ED7">
              <w:rPr>
                <w:sz w:val="20"/>
                <w:szCs w:val="20"/>
              </w:rPr>
              <w:instrText xml:space="preserve"> ADDIN ZOTERO_ITEM CSL_CITATION {"citationID":"GUkDIP9Q","properties":{"formattedCitation":"(Werbach &amp; Hunter, 2015)","plainCitation":"(Werbach &amp; Hunter, 2015)","dontUpdate":true},"citationItems":[{"id":28,"uris":["http://zotero.org/users/2983295/items/UUI5ZWIE"],"uri":["http://zotero.org/users/2983295/items/UUI5ZWIE"],"itemData":{"id":28,"type":"book","title":"The Gamification Toolkit: Dynamics, Mechanics, and Components for the Win","publisher":"Wharton Digital Press","number-of-pages":"44","source":"Google Books","abstract":"Take your gamification efforts to the next levelWhen The Economist covered Kevin Werbach and Dan Hunter’s new book For the Win in 2012, they referred to gamification as a “management craze.” Since then, gamification has proved to be much more than a fleeting fad: it is a global movement. For the Win has been published globally in English, Chinese, Japanese, Korean, Russian, and Spanish, and more than a quarter of a million people have taken Werbach’s gamification course on Coursera.Now, in their new ebook The Gamification Toolkit, Werbach and Hunter go deeper into the key game elements and provide you with the tools to take gamification to the next level. This brief but comprehensive ebook is a user’s guide to help you build a game—for the win.","ISBN":"978-1-61363-068-6","note":"Google-Books-ID: RDAMCAAAQBAJ","shortTitle":"The Gamification Toolkit","language":"en","author":[{"family":"Werbach","given":"K."},{"family":"Hunter","given":"D."}],"issued":{"date-parts":[["2015",5,5]]}}}],"schema":"https://github.com/citation-style-language/schema/raw/master/csl-citation.json"} </w:instrText>
            </w:r>
            <w:r w:rsidRPr="00365ED7">
              <w:rPr>
                <w:sz w:val="20"/>
                <w:szCs w:val="20"/>
              </w:rPr>
              <w:fldChar w:fldCharType="separate"/>
            </w:r>
            <w:r w:rsidRPr="00365ED7">
              <w:rPr>
                <w:sz w:val="20"/>
                <w:szCs w:val="20"/>
              </w:rPr>
              <w:t>Werbach y Hunter, 2015;</w:t>
            </w:r>
            <w:r w:rsidRPr="00365ED7">
              <w:rPr>
                <w:sz w:val="20"/>
                <w:szCs w:val="20"/>
              </w:rPr>
              <w:fldChar w:fldCharType="end"/>
            </w:r>
          </w:p>
        </w:tc>
        <w:tc>
          <w:tcPr>
            <w:tcW w:w="4414" w:type="dxa"/>
          </w:tcPr>
          <w:p w:rsidR="00D64473" w:rsidRPr="00365ED7" w:rsidRDefault="00F1029A" w:rsidP="001F6999">
            <w:pPr>
              <w:jc w:val="both"/>
              <w:rPr>
                <w:sz w:val="20"/>
                <w:szCs w:val="20"/>
              </w:rPr>
            </w:pPr>
            <w:r w:rsidRPr="00365ED7">
              <w:rPr>
                <w:sz w:val="20"/>
                <w:szCs w:val="20"/>
              </w:rPr>
              <w:fldChar w:fldCharType="begin"/>
            </w:r>
            <w:r w:rsidRPr="00365ED7">
              <w:rPr>
                <w:sz w:val="20"/>
                <w:szCs w:val="20"/>
              </w:rPr>
              <w:instrText xml:space="preserve"> ADDIN ZOTERO_ITEM CSL_CITATION {"citationID":"GUkDIP9Q","properties":{"formattedCitation":"(Werbach &amp; Hunter, 2015)","plainCitation":"(Werbach &amp; Hunter, 2015)","dontUpdate":true},"citationItems":[{"id":28,"uris":["http://zotero.org/users/2983295/items/UUI5ZWIE"],"uri":["http://zotero.org/users/2983295/items/UUI5ZWIE"],"itemData":{"id":28,"type":"book","title":"The Gamification Toolkit: Dynamics, Mechanics, and Components for the Win","publisher":"Wharton Digital Press","number-of-pages":"44","source":"Google Books","abstract":"Take your gamification efforts to the next levelWhen The Economist covered Kevin Werbach and Dan Hunter’s new book For the Win in 2012, they referred to gamification as a “management craze.” Since then, gamification has proved to be much more than a fleeting fad: it is a global movement. For the Win has been published globally in English, Chinese, Japanese, Korean, Russian, and Spanish, and more than a quarter of a million people have taken Werbach’s gamification course on Coursera.Now, in their new ebook The Gamification Toolkit, Werbach and Hunter go deeper into the key game elements and provide you with the tools to take gamification to the next level. This brief but comprehensive ebook is a user’s guide to help you build a game—for the win.","ISBN":"978-1-61363-068-6","note":"Google-Books-ID: RDAMCAAAQBAJ","shortTitle":"The Gamification Toolkit","language":"en","author":[{"family":"Werbach","given":"K."},{"family":"Hunter","given":"D."}],"issued":{"date-parts":[["2015",5,5]]}}}],"schema":"https://github.com/citation-style-language/schema/raw/master/csl-citation.json"} </w:instrText>
            </w:r>
            <w:r w:rsidRPr="00365ED7">
              <w:rPr>
                <w:sz w:val="20"/>
                <w:szCs w:val="20"/>
              </w:rPr>
              <w:fldChar w:fldCharType="separate"/>
            </w:r>
            <w:r w:rsidRPr="00365ED7">
              <w:rPr>
                <w:sz w:val="20"/>
                <w:szCs w:val="20"/>
              </w:rPr>
              <w:t>Werbach &amp; Hunter, 2015;</w:t>
            </w:r>
            <w:r w:rsidRPr="00365ED7">
              <w:rPr>
                <w:sz w:val="20"/>
                <w:szCs w:val="20"/>
              </w:rPr>
              <w:fldChar w:fldCharType="end"/>
            </w:r>
          </w:p>
        </w:tc>
      </w:tr>
      <w:tr w:rsidR="00D64473" w:rsidRPr="00365ED7" w:rsidTr="00365ED7">
        <w:tc>
          <w:tcPr>
            <w:tcW w:w="4414" w:type="dxa"/>
          </w:tcPr>
          <w:p w:rsidR="00D64473" w:rsidRPr="00365ED7" w:rsidRDefault="00A221A5" w:rsidP="001F6999">
            <w:pPr>
              <w:jc w:val="both"/>
              <w:rPr>
                <w:sz w:val="20"/>
                <w:szCs w:val="20"/>
              </w:rPr>
            </w:pPr>
            <w:r w:rsidRPr="00365ED7">
              <w:rPr>
                <w:sz w:val="20"/>
                <w:szCs w:val="20"/>
              </w:rPr>
              <w:t>Martínez &amp; Pérez, 2015</w:t>
            </w:r>
          </w:p>
        </w:tc>
        <w:tc>
          <w:tcPr>
            <w:tcW w:w="4414" w:type="dxa"/>
          </w:tcPr>
          <w:p w:rsidR="00D64473" w:rsidRPr="00365ED7" w:rsidRDefault="00A221A5" w:rsidP="001F6999">
            <w:pPr>
              <w:jc w:val="both"/>
              <w:rPr>
                <w:sz w:val="20"/>
                <w:szCs w:val="20"/>
              </w:rPr>
            </w:pPr>
            <w:r w:rsidRPr="00365ED7">
              <w:rPr>
                <w:sz w:val="20"/>
                <w:szCs w:val="20"/>
              </w:rPr>
              <w:fldChar w:fldCharType="begin"/>
            </w:r>
            <w:r w:rsidRPr="00365ED7">
              <w:rPr>
                <w:sz w:val="20"/>
                <w:szCs w:val="20"/>
              </w:rPr>
              <w:instrText xml:space="preserve"> ADDIN ZOTERO_ITEM CSL_CITATION {"citationID":"0DMJpnPj","properties":{"formattedCitation":"(Villalustre &amp; Del Moral, 2015)","plainCitation":"(Villalustre &amp; Del Moral, 2015)"},"citationItems":[{"id":2223,"uris":["http://zotero.org/users/2983295/items/B6K9C9CS"],"uri":["http://zotero.org/users/2983295/items/B6K9C9CS"],"itemData":{"id":2223,"type":"article-journal","title":"Gamificación: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Pr="00365ED7">
              <w:rPr>
                <w:sz w:val="20"/>
                <w:szCs w:val="20"/>
              </w:rPr>
              <w:fldChar w:fldCharType="separate"/>
            </w:r>
            <w:r w:rsidRPr="00365ED7">
              <w:rPr>
                <w:rFonts w:ascii="Arial" w:hAnsi="Arial" w:cs="Arial"/>
                <w:sz w:val="20"/>
                <w:szCs w:val="20"/>
              </w:rPr>
              <w:t>Villalustre &amp; Del Moral, 2015)</w:t>
            </w:r>
            <w:r w:rsidRPr="00365ED7">
              <w:rPr>
                <w:sz w:val="20"/>
                <w:szCs w:val="20"/>
              </w:rPr>
              <w:fldChar w:fldCharType="end"/>
            </w:r>
          </w:p>
        </w:tc>
      </w:tr>
      <w:tr w:rsidR="00C273A5" w:rsidRPr="00365ED7" w:rsidTr="00365ED7">
        <w:tc>
          <w:tcPr>
            <w:tcW w:w="4414" w:type="dxa"/>
          </w:tcPr>
          <w:p w:rsidR="00C273A5" w:rsidRPr="00365ED7" w:rsidRDefault="00AF3785" w:rsidP="001F6999">
            <w:pPr>
              <w:jc w:val="both"/>
              <w:rPr>
                <w:sz w:val="20"/>
                <w:szCs w:val="20"/>
              </w:rPr>
            </w:pPr>
            <w:r w:rsidRPr="00365ED7">
              <w:rPr>
                <w:sz w:val="20"/>
                <w:szCs w:val="20"/>
              </w:rPr>
              <w:fldChar w:fldCharType="begin"/>
            </w:r>
            <w:r w:rsidRPr="00365ED7">
              <w:rPr>
                <w:sz w:val="20"/>
                <w:szCs w:val="20"/>
              </w:rPr>
              <w:instrText xml:space="preserve"> ADDIN ZOTERO_ITEM CSL_CITATION {"citationID":"a1s2sikm4k1","properties":{"formattedCitation":"(Prensky, 2003)","plainCitation":"(Prensky, 2003)"},"citationItems":[{"id":1439,"uris":["http://zotero.org/users/2983295/items/3TZH6M3G"],"uri":["http://zotero.org/users/2983295/items/3TZH6M3G"],"itemData":{"id":1439,"type":"article","title":"Digital natives, digital immigrants- A new way to look at ourselves and our kids","URL":"http://www.marcprensky.com/writing/Prensky%20-","author":[{"family":"Prensky","given":"M."}],"issued":{"date-parts":[["2003"]]},"accessed":{"date-parts":[["2014",11,15]]}}}],"schema":"https://github.com/citation-style-language/schema/raw/master/csl-citation.json"} </w:instrText>
            </w:r>
            <w:r w:rsidRPr="00365ED7">
              <w:rPr>
                <w:sz w:val="20"/>
                <w:szCs w:val="20"/>
              </w:rPr>
              <w:fldChar w:fldCharType="separate"/>
            </w:r>
            <w:r w:rsidRPr="00365ED7">
              <w:rPr>
                <w:sz w:val="20"/>
                <w:szCs w:val="20"/>
              </w:rPr>
              <w:t>(Prensky, 2003)</w:t>
            </w:r>
            <w:r w:rsidRPr="00365ED7">
              <w:rPr>
                <w:sz w:val="20"/>
                <w:szCs w:val="20"/>
              </w:rPr>
              <w:fldChar w:fldCharType="end"/>
            </w:r>
            <w:r w:rsidRPr="00365ED7">
              <w:rPr>
                <w:sz w:val="20"/>
                <w:szCs w:val="20"/>
              </w:rPr>
              <w:t>,</w:t>
            </w:r>
          </w:p>
        </w:tc>
        <w:tc>
          <w:tcPr>
            <w:tcW w:w="4414" w:type="dxa"/>
          </w:tcPr>
          <w:p w:rsidR="00C273A5" w:rsidRPr="00365ED7" w:rsidRDefault="00AF3785" w:rsidP="001F6999">
            <w:pPr>
              <w:jc w:val="both"/>
              <w:rPr>
                <w:sz w:val="20"/>
                <w:szCs w:val="20"/>
              </w:rPr>
            </w:pPr>
            <w:r w:rsidRPr="00365ED7">
              <w:rPr>
                <w:sz w:val="20"/>
                <w:szCs w:val="20"/>
              </w:rPr>
              <w:fldChar w:fldCharType="begin"/>
            </w:r>
            <w:r w:rsidRPr="00365ED7">
              <w:rPr>
                <w:sz w:val="20"/>
                <w:szCs w:val="20"/>
              </w:rPr>
              <w:instrText xml:space="preserve"> ADDIN ZOTERO_ITEM CSL_CITATION {"citationID":"a1s2sikm4k1","properties":{"formattedCitation":"(Prensky, 2003)","plainCitation":"(Prensky, 2003)"},"citationItems":[{"id":1439,"uris":["http://zotero.org/users/2983295/items/3TZH6M3G"],"uri":["http://zotero.org/users/2983295/items/3TZH6M3G"],"itemData":{"id":1439,"type":"article","title":"Digital natives, digital immigrants- A new way to look at ourselves and our kids","URL":"http://www.marcprensky.com/writing/Prensky%20-","author":[{"family":"Prensky","given":"M."}],"issued":{"date-parts":[["2003"]]},"accessed":{"date-parts":[["2014",11,15]]}}}],"schema":"https://github.com/citation-style-language/schema/raw/master/csl-citation.json"} </w:instrText>
            </w:r>
            <w:r w:rsidRPr="00365ED7">
              <w:rPr>
                <w:sz w:val="20"/>
                <w:szCs w:val="20"/>
              </w:rPr>
              <w:fldChar w:fldCharType="separate"/>
            </w:r>
            <w:r w:rsidRPr="00365ED7">
              <w:rPr>
                <w:sz w:val="20"/>
                <w:szCs w:val="20"/>
              </w:rPr>
              <w:t>(Prensky, 2001)</w:t>
            </w:r>
            <w:r w:rsidRPr="00365ED7">
              <w:rPr>
                <w:sz w:val="20"/>
                <w:szCs w:val="20"/>
              </w:rPr>
              <w:fldChar w:fldCharType="end"/>
            </w:r>
            <w:r w:rsidRPr="00365ED7">
              <w:rPr>
                <w:sz w:val="20"/>
                <w:szCs w:val="20"/>
              </w:rPr>
              <w:t>,</w:t>
            </w:r>
          </w:p>
        </w:tc>
      </w:tr>
      <w:tr w:rsidR="00575637" w:rsidRPr="00365ED7" w:rsidTr="00365ED7">
        <w:tc>
          <w:tcPr>
            <w:tcW w:w="4414" w:type="dxa"/>
          </w:tcPr>
          <w:p w:rsidR="00575637" w:rsidRPr="00365ED7" w:rsidRDefault="00575637" w:rsidP="001F6999">
            <w:pPr>
              <w:jc w:val="both"/>
              <w:rPr>
                <w:sz w:val="20"/>
                <w:szCs w:val="20"/>
              </w:rPr>
            </w:pPr>
            <w:r w:rsidRPr="00365ED7">
              <w:rPr>
                <w:sz w:val="20"/>
                <w:szCs w:val="20"/>
              </w:rPr>
              <w:t>mejorar las dinámicas de aprendizaje y motivar el aprendizaje usando diferentes dinámicas</w:t>
            </w:r>
          </w:p>
        </w:tc>
        <w:tc>
          <w:tcPr>
            <w:tcW w:w="4414" w:type="dxa"/>
          </w:tcPr>
          <w:p w:rsidR="00575637" w:rsidRPr="00365ED7" w:rsidRDefault="00575637" w:rsidP="001F6999">
            <w:pPr>
              <w:jc w:val="both"/>
              <w:rPr>
                <w:sz w:val="20"/>
                <w:szCs w:val="20"/>
              </w:rPr>
            </w:pPr>
            <w:r w:rsidRPr="00365ED7">
              <w:rPr>
                <w:sz w:val="20"/>
                <w:szCs w:val="20"/>
              </w:rPr>
              <w:t xml:space="preserve">mejorar </w:t>
            </w:r>
            <w:r w:rsidR="00EC0938" w:rsidRPr="00365ED7">
              <w:rPr>
                <w:sz w:val="20"/>
                <w:szCs w:val="20"/>
              </w:rPr>
              <w:t>y motivar el</w:t>
            </w:r>
            <w:r w:rsidRPr="00365ED7">
              <w:rPr>
                <w:sz w:val="20"/>
                <w:szCs w:val="20"/>
              </w:rPr>
              <w:t xml:space="preserve"> aprendizaje y usando diferentes dinámicas</w:t>
            </w:r>
          </w:p>
        </w:tc>
      </w:tr>
      <w:tr w:rsidR="00575637" w:rsidRPr="00365ED7" w:rsidTr="00365ED7">
        <w:tc>
          <w:tcPr>
            <w:tcW w:w="4414" w:type="dxa"/>
          </w:tcPr>
          <w:p w:rsidR="00575637" w:rsidRPr="00365ED7" w:rsidRDefault="000F6AE8" w:rsidP="001F6999">
            <w:pPr>
              <w:jc w:val="both"/>
              <w:rPr>
                <w:sz w:val="20"/>
                <w:szCs w:val="20"/>
              </w:rPr>
            </w:pPr>
            <w:r w:rsidRPr="00365ED7">
              <w:rPr>
                <w:sz w:val="20"/>
                <w:szCs w:val="20"/>
              </w:rPr>
              <w:t>Sin embargo, al implementar este tipo estrategias en la universidad es</w:t>
            </w:r>
          </w:p>
        </w:tc>
        <w:tc>
          <w:tcPr>
            <w:tcW w:w="4414" w:type="dxa"/>
          </w:tcPr>
          <w:p w:rsidR="00575637" w:rsidRPr="00365ED7" w:rsidRDefault="000F6AE8" w:rsidP="001F6999">
            <w:pPr>
              <w:jc w:val="both"/>
              <w:rPr>
                <w:sz w:val="20"/>
                <w:szCs w:val="20"/>
              </w:rPr>
            </w:pPr>
            <w:r w:rsidRPr="00365ED7">
              <w:rPr>
                <w:sz w:val="20"/>
                <w:szCs w:val="20"/>
              </w:rPr>
              <w:t xml:space="preserve">Sin embargo, al implementar este tipo estrategias en universidades </w:t>
            </w:r>
          </w:p>
        </w:tc>
      </w:tr>
      <w:tr w:rsidR="008206CC" w:rsidRPr="00365ED7" w:rsidTr="00365ED7">
        <w:tc>
          <w:tcPr>
            <w:tcW w:w="4414" w:type="dxa"/>
          </w:tcPr>
          <w:p w:rsidR="008206CC" w:rsidRPr="00365ED7" w:rsidRDefault="008206CC" w:rsidP="001F6999">
            <w:pPr>
              <w:jc w:val="both"/>
              <w:rPr>
                <w:sz w:val="20"/>
                <w:szCs w:val="20"/>
              </w:rPr>
            </w:pPr>
            <w:proofErr w:type="gramStart"/>
            <w:r w:rsidRPr="00365ED7">
              <w:rPr>
                <w:sz w:val="20"/>
                <w:szCs w:val="20"/>
              </w:rPr>
              <w:t>este</w:t>
            </w:r>
            <w:proofErr w:type="gramEnd"/>
            <w:r w:rsidRPr="00365ED7">
              <w:rPr>
                <w:sz w:val="20"/>
                <w:szCs w:val="20"/>
              </w:rPr>
              <w:t xml:space="preserve"> tipo estrategias en universidades es necesario tener especial cuidado en las mecánicas de juego establecidas, dado que de ellas dependen el éxito o fracaso.</w:t>
            </w:r>
          </w:p>
        </w:tc>
        <w:tc>
          <w:tcPr>
            <w:tcW w:w="4414" w:type="dxa"/>
          </w:tcPr>
          <w:p w:rsidR="008206CC" w:rsidRPr="00365ED7" w:rsidRDefault="008206CC" w:rsidP="001F6999">
            <w:pPr>
              <w:jc w:val="both"/>
              <w:rPr>
                <w:sz w:val="20"/>
                <w:szCs w:val="20"/>
              </w:rPr>
            </w:pPr>
            <w:proofErr w:type="gramStart"/>
            <w:r w:rsidRPr="00365ED7">
              <w:rPr>
                <w:sz w:val="20"/>
                <w:szCs w:val="20"/>
              </w:rPr>
              <w:t>este</w:t>
            </w:r>
            <w:proofErr w:type="gramEnd"/>
            <w:r w:rsidRPr="00365ED7">
              <w:rPr>
                <w:sz w:val="20"/>
                <w:szCs w:val="20"/>
              </w:rPr>
              <w:t xml:space="preserve"> tipo estrategias en universidades es necesario cuidar</w:t>
            </w:r>
            <w:r w:rsidR="00C604F5" w:rsidRPr="00365ED7">
              <w:rPr>
                <w:sz w:val="20"/>
                <w:szCs w:val="20"/>
              </w:rPr>
              <w:t xml:space="preserve"> </w:t>
            </w:r>
            <w:r w:rsidRPr="00365ED7">
              <w:rPr>
                <w:sz w:val="20"/>
                <w:szCs w:val="20"/>
              </w:rPr>
              <w:t>las mecánicas de juego establecidas, dado que de ellas dependen el éxito o fracaso.</w:t>
            </w:r>
          </w:p>
        </w:tc>
      </w:tr>
      <w:tr w:rsidR="008206CC" w:rsidRPr="00365ED7" w:rsidTr="00365ED7">
        <w:tc>
          <w:tcPr>
            <w:tcW w:w="4414" w:type="dxa"/>
          </w:tcPr>
          <w:p w:rsidR="008206CC" w:rsidRPr="00365ED7" w:rsidRDefault="008206CC" w:rsidP="001F6999">
            <w:pPr>
              <w:jc w:val="both"/>
              <w:rPr>
                <w:sz w:val="20"/>
                <w:szCs w:val="20"/>
              </w:rPr>
            </w:pPr>
          </w:p>
        </w:tc>
        <w:tc>
          <w:tcPr>
            <w:tcW w:w="4414" w:type="dxa"/>
          </w:tcPr>
          <w:p w:rsidR="008206CC" w:rsidRPr="00365ED7" w:rsidRDefault="00613655" w:rsidP="001F6999">
            <w:pPr>
              <w:jc w:val="both"/>
              <w:rPr>
                <w:sz w:val="20"/>
                <w:szCs w:val="20"/>
              </w:rPr>
            </w:pPr>
            <w:r w:rsidRPr="00365ED7">
              <w:rPr>
                <w:sz w:val="20"/>
                <w:szCs w:val="20"/>
              </w:rPr>
              <w:t>, se recomienda tener especial cuidado en el diseño, planeación e implementación de la estrategia</w:t>
            </w:r>
          </w:p>
        </w:tc>
      </w:tr>
      <w:tr w:rsidR="00C273A5" w:rsidRPr="00365ED7" w:rsidTr="00365ED7">
        <w:tc>
          <w:tcPr>
            <w:tcW w:w="4414" w:type="dxa"/>
          </w:tcPr>
          <w:p w:rsidR="00C273A5" w:rsidRPr="00365ED7" w:rsidRDefault="00C273A5" w:rsidP="001F6999">
            <w:pPr>
              <w:pStyle w:val="Normal1"/>
              <w:spacing w:line="240" w:lineRule="auto"/>
              <w:jc w:val="both"/>
              <w:rPr>
                <w:sz w:val="20"/>
                <w:szCs w:val="20"/>
              </w:rPr>
            </w:pPr>
            <w:r w:rsidRPr="00365ED7">
              <w:rPr>
                <w:sz w:val="20"/>
                <w:szCs w:val="20"/>
              </w:rPr>
              <w:t>2) Comportamientos</w:t>
            </w:r>
          </w:p>
          <w:p w:rsidR="00C273A5" w:rsidRPr="00365ED7" w:rsidRDefault="00C273A5" w:rsidP="001F6999">
            <w:pPr>
              <w:jc w:val="both"/>
              <w:rPr>
                <w:sz w:val="20"/>
                <w:szCs w:val="20"/>
              </w:rPr>
            </w:pPr>
          </w:p>
        </w:tc>
        <w:tc>
          <w:tcPr>
            <w:tcW w:w="4414" w:type="dxa"/>
          </w:tcPr>
          <w:p w:rsidR="00C273A5" w:rsidRPr="00365ED7" w:rsidRDefault="00C273A5" w:rsidP="001F6999">
            <w:pPr>
              <w:pStyle w:val="Normal1"/>
              <w:spacing w:line="240" w:lineRule="auto"/>
              <w:jc w:val="both"/>
              <w:rPr>
                <w:sz w:val="20"/>
                <w:szCs w:val="20"/>
              </w:rPr>
            </w:pPr>
            <w:r w:rsidRPr="00365ED7">
              <w:rPr>
                <w:sz w:val="20"/>
                <w:szCs w:val="20"/>
              </w:rPr>
              <w:t>2) Comportamientos (negativos)</w:t>
            </w:r>
          </w:p>
          <w:p w:rsidR="00C273A5" w:rsidRPr="00365ED7" w:rsidRDefault="00C273A5" w:rsidP="001F6999">
            <w:pPr>
              <w:jc w:val="both"/>
              <w:rPr>
                <w:sz w:val="20"/>
                <w:szCs w:val="20"/>
              </w:rPr>
            </w:pPr>
          </w:p>
        </w:tc>
      </w:tr>
      <w:tr w:rsidR="00AF3785" w:rsidRPr="00365ED7" w:rsidTr="00365ED7">
        <w:tc>
          <w:tcPr>
            <w:tcW w:w="4414" w:type="dxa"/>
          </w:tcPr>
          <w:p w:rsidR="00BD346B" w:rsidRPr="00365ED7" w:rsidRDefault="00BD346B" w:rsidP="00BD346B">
            <w:pPr>
              <w:pStyle w:val="Normal1"/>
              <w:numPr>
                <w:ilvl w:val="0"/>
                <w:numId w:val="1"/>
              </w:numPr>
              <w:spacing w:line="240" w:lineRule="auto"/>
              <w:jc w:val="both"/>
              <w:rPr>
                <w:sz w:val="20"/>
                <w:szCs w:val="20"/>
              </w:rPr>
            </w:pPr>
            <w:r w:rsidRPr="00365ED7">
              <w:rPr>
                <w:sz w:val="20"/>
                <w:szCs w:val="20"/>
              </w:rPr>
              <w:t>Baja calidad en la entrega de los trabajos</w:t>
            </w:r>
          </w:p>
          <w:p w:rsidR="00AF3785" w:rsidRPr="00365ED7" w:rsidRDefault="00AF3785" w:rsidP="001F6999">
            <w:pPr>
              <w:pStyle w:val="Normal1"/>
              <w:spacing w:line="240" w:lineRule="auto"/>
              <w:jc w:val="both"/>
              <w:rPr>
                <w:sz w:val="20"/>
                <w:szCs w:val="20"/>
              </w:rPr>
            </w:pPr>
          </w:p>
        </w:tc>
        <w:tc>
          <w:tcPr>
            <w:tcW w:w="4414" w:type="dxa"/>
          </w:tcPr>
          <w:p w:rsidR="00AF3785" w:rsidRPr="00365ED7" w:rsidRDefault="00AF3785" w:rsidP="001F6999">
            <w:pPr>
              <w:pStyle w:val="Normal1"/>
              <w:numPr>
                <w:ilvl w:val="0"/>
                <w:numId w:val="1"/>
              </w:numPr>
              <w:spacing w:line="240" w:lineRule="auto"/>
              <w:jc w:val="both"/>
              <w:rPr>
                <w:sz w:val="20"/>
                <w:szCs w:val="20"/>
              </w:rPr>
            </w:pPr>
            <w:r w:rsidRPr="00365ED7">
              <w:rPr>
                <w:sz w:val="20"/>
                <w:szCs w:val="20"/>
              </w:rPr>
              <w:t>Baja calidad en la entrega de trabajos</w:t>
            </w:r>
          </w:p>
          <w:p w:rsidR="00AF3785" w:rsidRPr="00365ED7" w:rsidRDefault="00AF3785" w:rsidP="001F6999">
            <w:pPr>
              <w:pStyle w:val="Normal1"/>
              <w:spacing w:line="240" w:lineRule="auto"/>
              <w:jc w:val="both"/>
              <w:rPr>
                <w:sz w:val="20"/>
                <w:szCs w:val="20"/>
              </w:rPr>
            </w:pPr>
          </w:p>
        </w:tc>
      </w:tr>
      <w:tr w:rsidR="004E31AC" w:rsidRPr="00365ED7" w:rsidTr="00365ED7">
        <w:tc>
          <w:tcPr>
            <w:tcW w:w="4414" w:type="dxa"/>
          </w:tcPr>
          <w:p w:rsidR="004E31AC" w:rsidRPr="00365ED7" w:rsidRDefault="00792729" w:rsidP="001F6999">
            <w:pPr>
              <w:pStyle w:val="Normal1"/>
              <w:numPr>
                <w:ilvl w:val="0"/>
                <w:numId w:val="1"/>
              </w:numPr>
              <w:spacing w:line="240" w:lineRule="auto"/>
              <w:jc w:val="both"/>
              <w:rPr>
                <w:sz w:val="20"/>
                <w:szCs w:val="20"/>
              </w:rPr>
            </w:pPr>
            <w:r w:rsidRPr="00365ED7">
              <w:rPr>
                <w:sz w:val="20"/>
                <w:szCs w:val="20"/>
              </w:rPr>
              <w:t>Además, desean obtener calificaciones altas para mantener promedio de notas superior a 4.0</w:t>
            </w:r>
            <w:r w:rsidR="009D66EE" w:rsidRPr="00365ED7">
              <w:rPr>
                <w:sz w:val="20"/>
                <w:szCs w:val="20"/>
              </w:rPr>
              <w:t>en la universidad</w:t>
            </w:r>
          </w:p>
        </w:tc>
        <w:tc>
          <w:tcPr>
            <w:tcW w:w="4414" w:type="dxa"/>
          </w:tcPr>
          <w:p w:rsidR="004E31AC" w:rsidRPr="00BD346B" w:rsidRDefault="00BD346B" w:rsidP="00BD346B">
            <w:pPr>
              <w:pStyle w:val="Normal1"/>
              <w:spacing w:line="240" w:lineRule="auto"/>
              <w:rPr>
                <w:sz w:val="24"/>
                <w:szCs w:val="24"/>
              </w:rPr>
            </w:pPr>
            <w:r>
              <w:rPr>
                <w:sz w:val="24"/>
                <w:szCs w:val="24"/>
              </w:rPr>
              <w:t>Además, desean obtener calificaciones altas para mantener promedio de notas superior a 4.0</w:t>
            </w:r>
            <w:r>
              <w:rPr>
                <w:sz w:val="24"/>
                <w:szCs w:val="24"/>
              </w:rPr>
              <w:t>.</w:t>
            </w:r>
          </w:p>
        </w:tc>
      </w:tr>
      <w:tr w:rsidR="00085AC1" w:rsidRPr="00365ED7" w:rsidTr="00365ED7">
        <w:tc>
          <w:tcPr>
            <w:tcW w:w="4414" w:type="dxa"/>
          </w:tcPr>
          <w:p w:rsidR="00085AC1" w:rsidRPr="00365ED7" w:rsidRDefault="00085AC1" w:rsidP="001F6999">
            <w:pPr>
              <w:pStyle w:val="Normal1"/>
              <w:numPr>
                <w:ilvl w:val="0"/>
                <w:numId w:val="1"/>
              </w:numPr>
              <w:spacing w:line="240" w:lineRule="auto"/>
              <w:jc w:val="both"/>
              <w:rPr>
                <w:sz w:val="20"/>
                <w:szCs w:val="20"/>
              </w:rPr>
            </w:pPr>
            <w:r w:rsidRPr="00365ED7">
              <w:rPr>
                <w:sz w:val="20"/>
                <w:szCs w:val="20"/>
              </w:rPr>
              <w:t xml:space="preserve">Aplicación </w:t>
            </w:r>
            <w:proofErr w:type="spellStart"/>
            <w:r w:rsidRPr="00365ED7">
              <w:rPr>
                <w:sz w:val="20"/>
                <w:szCs w:val="20"/>
              </w:rPr>
              <w:t>ClassDojo</w:t>
            </w:r>
            <w:proofErr w:type="spellEnd"/>
            <w:r w:rsidRPr="00365ED7">
              <w:rPr>
                <w:sz w:val="20"/>
                <w:szCs w:val="20"/>
              </w:rPr>
              <w:t xml:space="preserve"> (Gestión, registro, control y seguimiento de canje, asignación de puntos)</w:t>
            </w:r>
          </w:p>
          <w:p w:rsidR="00085AC1" w:rsidRPr="00365ED7" w:rsidRDefault="00085AC1" w:rsidP="001F6999">
            <w:pPr>
              <w:pStyle w:val="Normal1"/>
              <w:numPr>
                <w:ilvl w:val="0"/>
                <w:numId w:val="1"/>
              </w:numPr>
              <w:spacing w:line="240" w:lineRule="auto"/>
              <w:jc w:val="both"/>
              <w:rPr>
                <w:sz w:val="20"/>
                <w:szCs w:val="20"/>
              </w:rPr>
            </w:pPr>
          </w:p>
        </w:tc>
        <w:tc>
          <w:tcPr>
            <w:tcW w:w="4414" w:type="dxa"/>
          </w:tcPr>
          <w:p w:rsidR="00085AC1" w:rsidRPr="00365ED7" w:rsidRDefault="00085AC1" w:rsidP="001F6999">
            <w:pPr>
              <w:pStyle w:val="Normal1"/>
              <w:numPr>
                <w:ilvl w:val="0"/>
                <w:numId w:val="1"/>
              </w:numPr>
              <w:spacing w:line="240" w:lineRule="auto"/>
              <w:jc w:val="both"/>
              <w:rPr>
                <w:sz w:val="20"/>
                <w:szCs w:val="20"/>
              </w:rPr>
            </w:pPr>
            <w:r w:rsidRPr="00365ED7">
              <w:rPr>
                <w:sz w:val="20"/>
                <w:szCs w:val="20"/>
              </w:rPr>
              <w:t xml:space="preserve">Aplicación </w:t>
            </w:r>
            <w:proofErr w:type="spellStart"/>
            <w:r w:rsidRPr="00365ED7">
              <w:rPr>
                <w:sz w:val="20"/>
                <w:szCs w:val="20"/>
              </w:rPr>
              <w:t>ClassDojo</w:t>
            </w:r>
            <w:proofErr w:type="spellEnd"/>
            <w:r w:rsidRPr="00365ED7">
              <w:rPr>
                <w:sz w:val="20"/>
                <w:szCs w:val="20"/>
              </w:rPr>
              <w:t xml:space="preserve"> (Gestión, registro, control y seguimiento de puntos)</w:t>
            </w:r>
          </w:p>
        </w:tc>
      </w:tr>
      <w:tr w:rsidR="00710DD9" w:rsidRPr="00365ED7" w:rsidTr="00365ED7">
        <w:tc>
          <w:tcPr>
            <w:tcW w:w="4414" w:type="dxa"/>
          </w:tcPr>
          <w:p w:rsidR="00710DD9" w:rsidRPr="00365ED7" w:rsidRDefault="00710DD9" w:rsidP="001F6999">
            <w:pPr>
              <w:pStyle w:val="Normal1"/>
              <w:numPr>
                <w:ilvl w:val="0"/>
                <w:numId w:val="1"/>
              </w:numPr>
              <w:spacing w:line="240" w:lineRule="auto"/>
              <w:jc w:val="both"/>
              <w:rPr>
                <w:sz w:val="20"/>
                <w:szCs w:val="20"/>
              </w:rPr>
            </w:pPr>
            <w:r w:rsidRPr="00365ED7">
              <w:rPr>
                <w:sz w:val="20"/>
                <w:szCs w:val="20"/>
              </w:rPr>
              <w:t>describen método</w:t>
            </w:r>
          </w:p>
        </w:tc>
        <w:tc>
          <w:tcPr>
            <w:tcW w:w="4414" w:type="dxa"/>
          </w:tcPr>
          <w:p w:rsidR="00710DD9" w:rsidRPr="00365ED7" w:rsidRDefault="00710DD9" w:rsidP="001F6999">
            <w:pPr>
              <w:pStyle w:val="Normal1"/>
              <w:numPr>
                <w:ilvl w:val="0"/>
                <w:numId w:val="1"/>
              </w:numPr>
              <w:spacing w:line="240" w:lineRule="auto"/>
              <w:jc w:val="both"/>
              <w:rPr>
                <w:sz w:val="20"/>
                <w:szCs w:val="20"/>
              </w:rPr>
            </w:pPr>
            <w:r w:rsidRPr="00365ED7">
              <w:rPr>
                <w:sz w:val="20"/>
                <w:szCs w:val="20"/>
              </w:rPr>
              <w:t>describe método</w:t>
            </w:r>
          </w:p>
        </w:tc>
      </w:tr>
      <w:tr w:rsidR="00ED429A" w:rsidRPr="00365ED7" w:rsidTr="00365ED7">
        <w:tc>
          <w:tcPr>
            <w:tcW w:w="4414" w:type="dxa"/>
          </w:tcPr>
          <w:p w:rsidR="00ED429A" w:rsidRPr="00365ED7" w:rsidRDefault="00ED429A" w:rsidP="001F6999">
            <w:pPr>
              <w:pStyle w:val="Normal1"/>
              <w:numPr>
                <w:ilvl w:val="0"/>
                <w:numId w:val="1"/>
              </w:numPr>
              <w:spacing w:line="240" w:lineRule="auto"/>
              <w:jc w:val="both"/>
              <w:rPr>
                <w:sz w:val="20"/>
                <w:szCs w:val="20"/>
              </w:rPr>
            </w:pPr>
            <w:r w:rsidRPr="00365ED7">
              <w:rPr>
                <w:sz w:val="20"/>
                <w:szCs w:val="20"/>
              </w:rPr>
              <w:t>VI: Variable independiente</w:t>
            </w:r>
          </w:p>
        </w:tc>
        <w:tc>
          <w:tcPr>
            <w:tcW w:w="4414" w:type="dxa"/>
          </w:tcPr>
          <w:p w:rsidR="00ED429A" w:rsidRPr="00365ED7" w:rsidRDefault="00ED429A" w:rsidP="001F6999">
            <w:pPr>
              <w:pStyle w:val="Normal1"/>
              <w:numPr>
                <w:ilvl w:val="0"/>
                <w:numId w:val="1"/>
              </w:numPr>
              <w:spacing w:line="240" w:lineRule="auto"/>
              <w:jc w:val="both"/>
              <w:rPr>
                <w:sz w:val="20"/>
                <w:szCs w:val="20"/>
              </w:rPr>
            </w:pPr>
            <w:r w:rsidRPr="00365ED7">
              <w:rPr>
                <w:sz w:val="20"/>
                <w:szCs w:val="20"/>
              </w:rPr>
              <w:t>VI: Variables independientes</w:t>
            </w:r>
          </w:p>
        </w:tc>
      </w:tr>
      <w:tr w:rsidR="00731AFF" w:rsidRPr="00365ED7" w:rsidTr="00365ED7">
        <w:tc>
          <w:tcPr>
            <w:tcW w:w="4414" w:type="dxa"/>
          </w:tcPr>
          <w:p w:rsidR="00731AFF" w:rsidRPr="00365ED7" w:rsidRDefault="00731AFF" w:rsidP="001F6999">
            <w:pPr>
              <w:pStyle w:val="Normal1"/>
              <w:spacing w:line="240" w:lineRule="auto"/>
              <w:jc w:val="both"/>
              <w:rPr>
                <w:sz w:val="20"/>
                <w:szCs w:val="20"/>
              </w:rPr>
            </w:pPr>
            <w:r w:rsidRPr="00365ED7">
              <w:rPr>
                <w:sz w:val="20"/>
                <w:szCs w:val="20"/>
              </w:rPr>
              <w:t>Tabla 3. Estudiantes por programa</w:t>
            </w:r>
            <w:r w:rsidR="0050414F" w:rsidRPr="00365ED7">
              <w:rPr>
                <w:sz w:val="20"/>
                <w:szCs w:val="20"/>
              </w:rPr>
              <w:t>s</w:t>
            </w:r>
            <w:r w:rsidRPr="00365ED7">
              <w:rPr>
                <w:sz w:val="20"/>
                <w:szCs w:val="20"/>
              </w:rPr>
              <w:t xml:space="preserve"> de la estrategia de </w:t>
            </w:r>
            <w:proofErr w:type="spellStart"/>
            <w:r w:rsidRPr="00365ED7">
              <w:rPr>
                <w:sz w:val="20"/>
                <w:szCs w:val="20"/>
              </w:rPr>
              <w:t>gamificación</w:t>
            </w:r>
            <w:proofErr w:type="spellEnd"/>
            <w:r w:rsidRPr="00365ED7">
              <w:rPr>
                <w:sz w:val="20"/>
                <w:szCs w:val="20"/>
              </w:rPr>
              <w:t>.</w:t>
            </w:r>
          </w:p>
          <w:p w:rsidR="00731AFF" w:rsidRPr="00365ED7" w:rsidRDefault="00731AFF" w:rsidP="001F6999">
            <w:pPr>
              <w:pStyle w:val="Normal1"/>
              <w:numPr>
                <w:ilvl w:val="0"/>
                <w:numId w:val="1"/>
              </w:numPr>
              <w:spacing w:line="240" w:lineRule="auto"/>
              <w:jc w:val="both"/>
              <w:rPr>
                <w:sz w:val="20"/>
                <w:szCs w:val="20"/>
              </w:rPr>
            </w:pPr>
          </w:p>
        </w:tc>
        <w:tc>
          <w:tcPr>
            <w:tcW w:w="4414" w:type="dxa"/>
          </w:tcPr>
          <w:p w:rsidR="00731AFF" w:rsidRPr="00365ED7" w:rsidRDefault="0050414F" w:rsidP="001F6999">
            <w:pPr>
              <w:pStyle w:val="Normal1"/>
              <w:spacing w:line="240" w:lineRule="auto"/>
              <w:jc w:val="both"/>
              <w:rPr>
                <w:sz w:val="20"/>
                <w:szCs w:val="20"/>
              </w:rPr>
            </w:pPr>
            <w:r w:rsidRPr="00365ED7">
              <w:rPr>
                <w:sz w:val="20"/>
                <w:szCs w:val="20"/>
              </w:rPr>
              <w:t>Tabla 3. Estudiantes por programa.</w:t>
            </w:r>
          </w:p>
        </w:tc>
      </w:tr>
      <w:tr w:rsidR="001C443D" w:rsidRPr="00365ED7" w:rsidTr="00365ED7">
        <w:tc>
          <w:tcPr>
            <w:tcW w:w="4414" w:type="dxa"/>
          </w:tcPr>
          <w:p w:rsidR="001C443D" w:rsidRPr="00365ED7" w:rsidRDefault="001C443D" w:rsidP="001F6999">
            <w:pPr>
              <w:pStyle w:val="Normal1"/>
              <w:spacing w:line="240" w:lineRule="auto"/>
              <w:ind w:left="-20"/>
              <w:jc w:val="both"/>
              <w:rPr>
                <w:sz w:val="20"/>
                <w:szCs w:val="20"/>
              </w:rPr>
            </w:pPr>
            <w:r w:rsidRPr="00365ED7">
              <w:rPr>
                <w:sz w:val="20"/>
                <w:szCs w:val="20"/>
              </w:rPr>
              <w:t>Mecánica de juego</w:t>
            </w:r>
          </w:p>
        </w:tc>
        <w:tc>
          <w:tcPr>
            <w:tcW w:w="4414" w:type="dxa"/>
          </w:tcPr>
          <w:p w:rsidR="001C443D" w:rsidRPr="00365ED7" w:rsidRDefault="001C443D" w:rsidP="001F6999">
            <w:pPr>
              <w:pStyle w:val="Normal1"/>
              <w:spacing w:line="240" w:lineRule="auto"/>
              <w:ind w:left="-20"/>
              <w:jc w:val="both"/>
              <w:rPr>
                <w:sz w:val="20"/>
                <w:szCs w:val="20"/>
              </w:rPr>
            </w:pPr>
            <w:r w:rsidRPr="00365ED7">
              <w:rPr>
                <w:sz w:val="20"/>
                <w:szCs w:val="20"/>
              </w:rPr>
              <w:t>Mecánicas de juego</w:t>
            </w:r>
          </w:p>
        </w:tc>
      </w:tr>
      <w:tr w:rsidR="0050414F" w:rsidRPr="00365ED7" w:rsidTr="00365ED7">
        <w:tc>
          <w:tcPr>
            <w:tcW w:w="4414" w:type="dxa"/>
          </w:tcPr>
          <w:p w:rsidR="0050414F" w:rsidRPr="00365ED7" w:rsidRDefault="0050414F" w:rsidP="001F6999">
            <w:pPr>
              <w:pStyle w:val="Normal1"/>
              <w:spacing w:line="240" w:lineRule="auto"/>
              <w:jc w:val="both"/>
              <w:rPr>
                <w:sz w:val="20"/>
                <w:szCs w:val="20"/>
              </w:rPr>
            </w:pPr>
            <w:r w:rsidRPr="00365ED7">
              <w:rPr>
                <w:sz w:val="20"/>
                <w:szCs w:val="20"/>
              </w:rPr>
              <w:t xml:space="preserve">Considera que la estrategia de </w:t>
            </w:r>
            <w:proofErr w:type="spellStart"/>
            <w:r w:rsidRPr="00365ED7">
              <w:rPr>
                <w:sz w:val="20"/>
                <w:szCs w:val="20"/>
              </w:rPr>
              <w:t>gamificación</w:t>
            </w:r>
            <w:proofErr w:type="spellEnd"/>
            <w:r w:rsidRPr="00365ED7">
              <w:rPr>
                <w:sz w:val="20"/>
                <w:szCs w:val="20"/>
              </w:rPr>
              <w:t xml:space="preserve"> utilizada favorece el desarrollo de los contenidos temáticos de las clases</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estrategia de </w:t>
            </w:r>
            <w:proofErr w:type="spellStart"/>
            <w:r w:rsidRPr="00365ED7">
              <w:rPr>
                <w:sz w:val="20"/>
                <w:szCs w:val="20"/>
              </w:rPr>
              <w:t>gamificación</w:t>
            </w:r>
            <w:proofErr w:type="spellEnd"/>
            <w:r w:rsidRPr="00365ED7">
              <w:rPr>
                <w:sz w:val="20"/>
                <w:szCs w:val="20"/>
              </w:rPr>
              <w:t xml:space="preserve"> utilizada en clase?</w:t>
            </w:r>
          </w:p>
          <w:p w:rsidR="0050414F" w:rsidRPr="00365ED7" w:rsidRDefault="0050414F" w:rsidP="001F6999">
            <w:pPr>
              <w:pStyle w:val="Normal1"/>
              <w:spacing w:line="240" w:lineRule="auto"/>
              <w:jc w:val="both"/>
              <w:rPr>
                <w:sz w:val="20"/>
                <w:szCs w:val="20"/>
              </w:rPr>
            </w:pPr>
            <w:r w:rsidRPr="00365ED7">
              <w:rPr>
                <w:sz w:val="20"/>
                <w:szCs w:val="20"/>
              </w:rPr>
              <w:t>Considera que este tipo de estrategias se deben usar en todas las clases de la Universidad para favorecer el aprendizaje y motivación de los estudiantes.</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escala premios utilizada?  </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aplicación </w:t>
            </w:r>
            <w:proofErr w:type="spellStart"/>
            <w:r w:rsidRPr="00365ED7">
              <w:rPr>
                <w:sz w:val="20"/>
                <w:szCs w:val="20"/>
              </w:rPr>
              <w:t>ClassDojo</w:t>
            </w:r>
            <w:proofErr w:type="spellEnd"/>
            <w:r w:rsidRPr="00365ED7">
              <w:rPr>
                <w:sz w:val="20"/>
                <w:szCs w:val="20"/>
              </w:rPr>
              <w:t xml:space="preserve"> usada en clase para el registro de puntos y asistencias?</w:t>
            </w:r>
          </w:p>
          <w:p w:rsidR="0050414F" w:rsidRPr="00365ED7" w:rsidRDefault="0050414F" w:rsidP="001F6999">
            <w:pPr>
              <w:pStyle w:val="Normal1"/>
              <w:spacing w:line="240" w:lineRule="auto"/>
              <w:jc w:val="both"/>
              <w:rPr>
                <w:sz w:val="20"/>
                <w:szCs w:val="20"/>
              </w:rPr>
            </w:pPr>
            <w:r w:rsidRPr="00365ED7">
              <w:rPr>
                <w:sz w:val="20"/>
                <w:szCs w:val="20"/>
              </w:rPr>
              <w:t>¿Qué otros premios y/o incentivos considera que se deben tener en cuenta?</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aplicación </w:t>
            </w:r>
            <w:proofErr w:type="spellStart"/>
            <w:r w:rsidRPr="00365ED7">
              <w:rPr>
                <w:sz w:val="20"/>
                <w:szCs w:val="20"/>
              </w:rPr>
              <w:t>ClassDojo</w:t>
            </w:r>
            <w:proofErr w:type="spellEnd"/>
            <w:r w:rsidRPr="00365ED7">
              <w:rPr>
                <w:sz w:val="20"/>
                <w:szCs w:val="20"/>
              </w:rPr>
              <w:t xml:space="preserve"> usada en clase para el registro de puntos y asistencias?</w:t>
            </w:r>
          </w:p>
          <w:p w:rsidR="0050414F" w:rsidRPr="00365ED7" w:rsidRDefault="0050414F" w:rsidP="001F6999">
            <w:pPr>
              <w:pStyle w:val="Normal1"/>
              <w:spacing w:line="240" w:lineRule="auto"/>
              <w:ind w:left="-20"/>
              <w:jc w:val="both"/>
              <w:rPr>
                <w:sz w:val="20"/>
                <w:szCs w:val="20"/>
              </w:rPr>
            </w:pPr>
            <w:r w:rsidRPr="00365ED7">
              <w:rPr>
                <w:sz w:val="20"/>
                <w:szCs w:val="20"/>
              </w:rPr>
              <w:t xml:space="preserve">¿Qué observaciones tiene acerca de las funciones de la aplicación </w:t>
            </w:r>
            <w:proofErr w:type="spellStart"/>
            <w:r w:rsidRPr="00365ED7">
              <w:rPr>
                <w:sz w:val="20"/>
                <w:szCs w:val="20"/>
              </w:rPr>
              <w:t>ClassDojo</w:t>
            </w:r>
            <w:proofErr w:type="spellEnd"/>
            <w:r w:rsidRPr="00365ED7">
              <w:rPr>
                <w:sz w:val="20"/>
                <w:szCs w:val="20"/>
              </w:rPr>
              <w:t xml:space="preserve"> usada en clase para el registro de puntos?</w:t>
            </w:r>
          </w:p>
        </w:tc>
        <w:tc>
          <w:tcPr>
            <w:tcW w:w="4414" w:type="dxa"/>
          </w:tcPr>
          <w:p w:rsidR="0050414F" w:rsidRPr="00365ED7" w:rsidRDefault="0050414F" w:rsidP="001F6999">
            <w:pPr>
              <w:pStyle w:val="Normal1"/>
              <w:spacing w:line="240" w:lineRule="auto"/>
              <w:jc w:val="both"/>
              <w:rPr>
                <w:sz w:val="20"/>
                <w:szCs w:val="20"/>
              </w:rPr>
            </w:pPr>
            <w:r w:rsidRPr="00365ED7">
              <w:rPr>
                <w:sz w:val="20"/>
                <w:szCs w:val="20"/>
              </w:rPr>
              <w:t xml:space="preserve">Considera que la estrategia de </w:t>
            </w:r>
            <w:proofErr w:type="spellStart"/>
            <w:r w:rsidRPr="00365ED7">
              <w:rPr>
                <w:sz w:val="20"/>
                <w:szCs w:val="20"/>
              </w:rPr>
              <w:t>gamificación</w:t>
            </w:r>
            <w:proofErr w:type="spellEnd"/>
            <w:r w:rsidRPr="00365ED7">
              <w:rPr>
                <w:sz w:val="20"/>
                <w:szCs w:val="20"/>
              </w:rPr>
              <w:t xml:space="preserve"> utilizada favorece el desarrollo de los contenidos temáticos de las clases</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estrategia de </w:t>
            </w:r>
            <w:proofErr w:type="spellStart"/>
            <w:r w:rsidRPr="00365ED7">
              <w:rPr>
                <w:sz w:val="20"/>
                <w:szCs w:val="20"/>
              </w:rPr>
              <w:t>gamificación</w:t>
            </w:r>
            <w:proofErr w:type="spellEnd"/>
            <w:r w:rsidRPr="00365ED7">
              <w:rPr>
                <w:sz w:val="20"/>
                <w:szCs w:val="20"/>
              </w:rPr>
              <w:t xml:space="preserve"> utilizada en clase?</w:t>
            </w:r>
          </w:p>
          <w:p w:rsidR="0050414F" w:rsidRPr="00365ED7" w:rsidRDefault="0050414F" w:rsidP="001F6999">
            <w:pPr>
              <w:pStyle w:val="Normal1"/>
              <w:spacing w:line="240" w:lineRule="auto"/>
              <w:jc w:val="both"/>
              <w:rPr>
                <w:sz w:val="20"/>
                <w:szCs w:val="20"/>
              </w:rPr>
            </w:pPr>
            <w:r w:rsidRPr="00365ED7">
              <w:rPr>
                <w:sz w:val="20"/>
                <w:szCs w:val="20"/>
              </w:rPr>
              <w:t>Considera que este tipo de estrategias se deben usar en todas las clases de la Universidad para favorecer el aprendizaje y motivación de los estudiantes.</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escala premios utilizada?  </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aplicación </w:t>
            </w:r>
            <w:proofErr w:type="spellStart"/>
            <w:r w:rsidRPr="00365ED7">
              <w:rPr>
                <w:sz w:val="20"/>
                <w:szCs w:val="20"/>
              </w:rPr>
              <w:t>ClassDojo</w:t>
            </w:r>
            <w:proofErr w:type="spellEnd"/>
            <w:r w:rsidRPr="00365ED7">
              <w:rPr>
                <w:sz w:val="20"/>
                <w:szCs w:val="20"/>
              </w:rPr>
              <w:t xml:space="preserve"> usada en clase para el registro de puntos y asistencias?</w:t>
            </w:r>
          </w:p>
          <w:p w:rsidR="0050414F" w:rsidRPr="00365ED7" w:rsidRDefault="0050414F" w:rsidP="001F6999">
            <w:pPr>
              <w:pStyle w:val="Normal1"/>
              <w:spacing w:line="240" w:lineRule="auto"/>
              <w:jc w:val="both"/>
              <w:rPr>
                <w:sz w:val="20"/>
                <w:szCs w:val="20"/>
              </w:rPr>
            </w:pPr>
            <w:r w:rsidRPr="00365ED7">
              <w:rPr>
                <w:sz w:val="20"/>
                <w:szCs w:val="20"/>
              </w:rPr>
              <w:t>¿Qué otros premios y/o incentivos considera que se deben tener en cuenta?</w:t>
            </w:r>
          </w:p>
          <w:p w:rsidR="0050414F" w:rsidRPr="00365ED7" w:rsidRDefault="0050414F" w:rsidP="001F6999">
            <w:pPr>
              <w:pStyle w:val="Normal1"/>
              <w:spacing w:line="240" w:lineRule="auto"/>
              <w:jc w:val="both"/>
              <w:rPr>
                <w:sz w:val="20"/>
                <w:szCs w:val="20"/>
              </w:rPr>
            </w:pPr>
            <w:r w:rsidRPr="00365ED7">
              <w:rPr>
                <w:sz w:val="20"/>
                <w:szCs w:val="20"/>
              </w:rPr>
              <w:t xml:space="preserve">¿Cómo evalúa la aplicación </w:t>
            </w:r>
            <w:proofErr w:type="spellStart"/>
            <w:r w:rsidRPr="00365ED7">
              <w:rPr>
                <w:sz w:val="20"/>
                <w:szCs w:val="20"/>
              </w:rPr>
              <w:t>ClassDojo</w:t>
            </w:r>
            <w:proofErr w:type="spellEnd"/>
            <w:r w:rsidRPr="00365ED7">
              <w:rPr>
                <w:sz w:val="20"/>
                <w:szCs w:val="20"/>
              </w:rPr>
              <w:t xml:space="preserve"> usada en clase para el registro de puntos y asistencias?</w:t>
            </w:r>
          </w:p>
          <w:p w:rsidR="0050414F" w:rsidRPr="00365ED7" w:rsidRDefault="0050414F" w:rsidP="001F6999">
            <w:pPr>
              <w:pStyle w:val="Normal1"/>
              <w:spacing w:line="240" w:lineRule="auto"/>
              <w:ind w:left="-20"/>
              <w:jc w:val="both"/>
              <w:rPr>
                <w:sz w:val="20"/>
                <w:szCs w:val="20"/>
              </w:rPr>
            </w:pPr>
            <w:r w:rsidRPr="00365ED7">
              <w:rPr>
                <w:sz w:val="20"/>
                <w:szCs w:val="20"/>
              </w:rPr>
              <w:t xml:space="preserve">¿Qué observaciones tiene acerca de las funciones de la aplicación </w:t>
            </w:r>
            <w:proofErr w:type="spellStart"/>
            <w:r w:rsidRPr="00365ED7">
              <w:rPr>
                <w:sz w:val="20"/>
                <w:szCs w:val="20"/>
              </w:rPr>
              <w:t>ClassDojo</w:t>
            </w:r>
            <w:proofErr w:type="spellEnd"/>
            <w:r w:rsidRPr="00365ED7">
              <w:rPr>
                <w:sz w:val="20"/>
                <w:szCs w:val="20"/>
              </w:rPr>
              <w:t xml:space="preserve"> usada en clase para el registro de puntos?</w:t>
            </w:r>
          </w:p>
        </w:tc>
      </w:tr>
      <w:tr w:rsidR="003B2532" w:rsidRPr="00365ED7" w:rsidTr="00365ED7">
        <w:tc>
          <w:tcPr>
            <w:tcW w:w="4414" w:type="dxa"/>
          </w:tcPr>
          <w:p w:rsidR="003B2532" w:rsidRPr="00365ED7" w:rsidRDefault="003B2532" w:rsidP="001F6999">
            <w:pPr>
              <w:pStyle w:val="Normal1"/>
              <w:spacing w:line="240" w:lineRule="auto"/>
              <w:jc w:val="both"/>
              <w:rPr>
                <w:sz w:val="20"/>
                <w:szCs w:val="20"/>
              </w:rPr>
            </w:pPr>
            <w:r w:rsidRPr="00365ED7">
              <w:rPr>
                <w:sz w:val="20"/>
                <w:szCs w:val="20"/>
              </w:rPr>
              <w:lastRenderedPageBreak/>
              <w:t xml:space="preserve">Figura 6. Distribución de frecuencias sobre la valoración de los estudiantes de la aplicación usada en la estrategia de </w:t>
            </w:r>
            <w:proofErr w:type="spellStart"/>
            <w:r w:rsidRPr="00365ED7">
              <w:rPr>
                <w:sz w:val="20"/>
                <w:szCs w:val="20"/>
              </w:rPr>
              <w:t>gamificación</w:t>
            </w:r>
            <w:proofErr w:type="spellEnd"/>
            <w:r w:rsidRPr="00365ED7">
              <w:rPr>
                <w:sz w:val="20"/>
                <w:szCs w:val="20"/>
              </w:rPr>
              <w:t xml:space="preserve"> </w:t>
            </w:r>
            <w:proofErr w:type="spellStart"/>
            <w:r w:rsidRPr="00365ED7">
              <w:rPr>
                <w:sz w:val="20"/>
                <w:szCs w:val="20"/>
              </w:rPr>
              <w:t>ClassDojo</w:t>
            </w:r>
            <w:proofErr w:type="spellEnd"/>
          </w:p>
        </w:tc>
        <w:tc>
          <w:tcPr>
            <w:tcW w:w="4414" w:type="dxa"/>
          </w:tcPr>
          <w:p w:rsidR="003B2532" w:rsidRPr="00365ED7" w:rsidRDefault="003B2532" w:rsidP="001F6999">
            <w:pPr>
              <w:pStyle w:val="Normal1"/>
              <w:spacing w:line="240" w:lineRule="auto"/>
              <w:jc w:val="both"/>
              <w:rPr>
                <w:sz w:val="20"/>
                <w:szCs w:val="20"/>
              </w:rPr>
            </w:pPr>
            <w:r w:rsidRPr="00365ED7">
              <w:rPr>
                <w:sz w:val="20"/>
                <w:szCs w:val="20"/>
              </w:rPr>
              <w:t xml:space="preserve">Figura 6. Distribución de frecuencias sobre la valoración de los estudiantes de la aplicación </w:t>
            </w:r>
            <w:proofErr w:type="spellStart"/>
            <w:r w:rsidRPr="00365ED7">
              <w:rPr>
                <w:sz w:val="20"/>
                <w:szCs w:val="20"/>
              </w:rPr>
              <w:t>ClassDojo</w:t>
            </w:r>
            <w:proofErr w:type="spellEnd"/>
            <w:r w:rsidRPr="00365ED7">
              <w:rPr>
                <w:sz w:val="20"/>
                <w:szCs w:val="20"/>
              </w:rPr>
              <w:t xml:space="preserve"> usada en la estrategia.</w:t>
            </w:r>
          </w:p>
          <w:p w:rsidR="003B2532" w:rsidRPr="00365ED7" w:rsidRDefault="003B2532" w:rsidP="001F6999">
            <w:pPr>
              <w:pStyle w:val="Normal1"/>
              <w:spacing w:line="240" w:lineRule="auto"/>
              <w:jc w:val="both"/>
              <w:rPr>
                <w:sz w:val="20"/>
                <w:szCs w:val="20"/>
              </w:rPr>
            </w:pPr>
          </w:p>
        </w:tc>
      </w:tr>
      <w:tr w:rsidR="0034062F" w:rsidRPr="00365ED7" w:rsidTr="00365ED7">
        <w:tc>
          <w:tcPr>
            <w:tcW w:w="4414" w:type="dxa"/>
          </w:tcPr>
          <w:p w:rsidR="0034062F" w:rsidRPr="00365ED7" w:rsidRDefault="0034062F" w:rsidP="001F6999">
            <w:pPr>
              <w:pStyle w:val="Normal1"/>
              <w:spacing w:line="240" w:lineRule="auto"/>
              <w:jc w:val="both"/>
              <w:rPr>
                <w:sz w:val="20"/>
                <w:szCs w:val="20"/>
              </w:rPr>
            </w:pPr>
            <w:r w:rsidRPr="00365ED7">
              <w:rPr>
                <w:sz w:val="20"/>
                <w:szCs w:val="20"/>
              </w:rPr>
              <w:t xml:space="preserve">Finalmente, se pidió a los estudiantes que evaluaran la aplicación </w:t>
            </w:r>
            <w:proofErr w:type="spellStart"/>
            <w:r w:rsidRPr="00365ED7">
              <w:rPr>
                <w:sz w:val="20"/>
                <w:szCs w:val="20"/>
              </w:rPr>
              <w:t>ClassDojo</w:t>
            </w:r>
            <w:proofErr w:type="spellEnd"/>
            <w:r w:rsidRPr="00365ED7">
              <w:rPr>
                <w:sz w:val="20"/>
                <w:szCs w:val="20"/>
              </w:rPr>
              <w:t xml:space="preserve">, el 88% de los estudiantes la calificó como bastante y muy buena. Aunque la plataforma cuenta con herramientas de gestión académica como registro de asistencia, comunicación con padres, entre otras. En la estrategia implementada solo se usó para el registro de puntos (Figura 6). </w:t>
            </w:r>
          </w:p>
          <w:p w:rsidR="0034062F" w:rsidRPr="00365ED7" w:rsidRDefault="0034062F" w:rsidP="001F6999">
            <w:pPr>
              <w:pStyle w:val="Normal1"/>
              <w:spacing w:line="240" w:lineRule="auto"/>
              <w:ind w:left="-20"/>
              <w:jc w:val="both"/>
              <w:rPr>
                <w:sz w:val="20"/>
                <w:szCs w:val="20"/>
              </w:rPr>
            </w:pPr>
          </w:p>
        </w:tc>
        <w:tc>
          <w:tcPr>
            <w:tcW w:w="4414" w:type="dxa"/>
          </w:tcPr>
          <w:p w:rsidR="0034062F" w:rsidRPr="00365ED7" w:rsidRDefault="0034062F" w:rsidP="001F6999">
            <w:pPr>
              <w:pStyle w:val="Normal1"/>
              <w:spacing w:line="240" w:lineRule="auto"/>
              <w:jc w:val="both"/>
              <w:rPr>
                <w:sz w:val="20"/>
                <w:szCs w:val="20"/>
              </w:rPr>
            </w:pPr>
            <w:r w:rsidRPr="00365ED7">
              <w:rPr>
                <w:sz w:val="20"/>
                <w:szCs w:val="20"/>
              </w:rPr>
              <w:t xml:space="preserve">Finalmente, se pidió a los estudiantes que evaluaran la aplicación </w:t>
            </w:r>
            <w:proofErr w:type="spellStart"/>
            <w:r w:rsidRPr="00365ED7">
              <w:rPr>
                <w:sz w:val="20"/>
                <w:szCs w:val="20"/>
              </w:rPr>
              <w:t>ClassDojo</w:t>
            </w:r>
            <w:proofErr w:type="spellEnd"/>
            <w:r w:rsidRPr="00365ED7">
              <w:rPr>
                <w:sz w:val="20"/>
                <w:szCs w:val="20"/>
              </w:rPr>
              <w:t>, el 88% la calificó como bastante y muy buena. Es de aclarar que la plataforma cuenta con herramientas de gestión académica como registro de asistencia, comunicación con padres, entre otras.</w:t>
            </w:r>
            <w:r w:rsidR="00037C6E" w:rsidRPr="00365ED7">
              <w:rPr>
                <w:sz w:val="20"/>
                <w:szCs w:val="20"/>
              </w:rPr>
              <w:t xml:space="preserve"> Sin embargo, en </w:t>
            </w:r>
            <w:r w:rsidRPr="00365ED7">
              <w:rPr>
                <w:sz w:val="20"/>
                <w:szCs w:val="20"/>
              </w:rPr>
              <w:t xml:space="preserve">la estrategia implementada solo se usó para el registro </w:t>
            </w:r>
            <w:r w:rsidR="00037C6E" w:rsidRPr="00365ED7">
              <w:rPr>
                <w:sz w:val="20"/>
                <w:szCs w:val="20"/>
              </w:rPr>
              <w:t xml:space="preserve">y canje de </w:t>
            </w:r>
            <w:r w:rsidRPr="00365ED7">
              <w:rPr>
                <w:sz w:val="20"/>
                <w:szCs w:val="20"/>
              </w:rPr>
              <w:t xml:space="preserve">puntos (Figura 6). </w:t>
            </w:r>
          </w:p>
          <w:p w:rsidR="0034062F" w:rsidRPr="00365ED7" w:rsidRDefault="0034062F" w:rsidP="001F6999">
            <w:pPr>
              <w:pStyle w:val="Normal1"/>
              <w:spacing w:line="240" w:lineRule="auto"/>
              <w:ind w:left="-20"/>
              <w:jc w:val="both"/>
              <w:rPr>
                <w:sz w:val="20"/>
                <w:szCs w:val="20"/>
              </w:rPr>
            </w:pPr>
          </w:p>
        </w:tc>
      </w:tr>
      <w:tr w:rsidR="003711E5" w:rsidRPr="00365ED7" w:rsidTr="00365ED7">
        <w:tc>
          <w:tcPr>
            <w:tcW w:w="4414" w:type="dxa"/>
          </w:tcPr>
          <w:p w:rsidR="003711E5" w:rsidRPr="00365ED7" w:rsidRDefault="00B73026" w:rsidP="00B73026">
            <w:pPr>
              <w:pStyle w:val="Normal1"/>
              <w:spacing w:line="240" w:lineRule="auto"/>
              <w:jc w:val="both"/>
              <w:rPr>
                <w:sz w:val="20"/>
                <w:szCs w:val="20"/>
              </w:rPr>
            </w:pPr>
            <w:r>
              <w:rPr>
                <w:color w:val="auto"/>
                <w:sz w:val="24"/>
                <w:szCs w:val="24"/>
              </w:rPr>
              <w:t xml:space="preserve">El modelo clásico de educación en las universidades limita la interacción entre estudiantes, docentes y contenidos, en este sentido, la </w:t>
            </w:r>
            <w:proofErr w:type="spellStart"/>
            <w:r>
              <w:rPr>
                <w:color w:val="auto"/>
                <w:sz w:val="24"/>
                <w:szCs w:val="24"/>
              </w:rPr>
              <w:t>gamificación</w:t>
            </w:r>
            <w:proofErr w:type="spellEnd"/>
            <w:r>
              <w:rPr>
                <w:color w:val="auto"/>
                <w:sz w:val="24"/>
                <w:szCs w:val="24"/>
              </w:rPr>
              <w:t xml:space="preserve"> emerge como una herramienta pertinente para motivar el desarrollo de contenidos y la participación de los estudiantes en el aula.</w:t>
            </w:r>
          </w:p>
        </w:tc>
        <w:tc>
          <w:tcPr>
            <w:tcW w:w="4414" w:type="dxa"/>
          </w:tcPr>
          <w:p w:rsidR="003711E5" w:rsidRPr="00365ED7" w:rsidRDefault="00B73026" w:rsidP="001F6999">
            <w:pPr>
              <w:pStyle w:val="Normal1"/>
              <w:spacing w:line="240" w:lineRule="auto"/>
              <w:jc w:val="both"/>
              <w:rPr>
                <w:sz w:val="20"/>
                <w:szCs w:val="20"/>
              </w:rPr>
            </w:pPr>
            <w:r>
              <w:rPr>
                <w:color w:val="auto"/>
                <w:sz w:val="24"/>
                <w:szCs w:val="24"/>
              </w:rPr>
              <w:t xml:space="preserve">El modelo clásico de educación en las universidades limita la interacción entre estudiantes, docentes y contenidos, en este sentido, la </w:t>
            </w:r>
            <w:proofErr w:type="spellStart"/>
            <w:r>
              <w:rPr>
                <w:color w:val="auto"/>
                <w:sz w:val="24"/>
                <w:szCs w:val="24"/>
              </w:rPr>
              <w:t>gamificación</w:t>
            </w:r>
            <w:proofErr w:type="spellEnd"/>
            <w:r>
              <w:rPr>
                <w:color w:val="auto"/>
                <w:sz w:val="24"/>
                <w:szCs w:val="24"/>
              </w:rPr>
              <w:t xml:space="preserve"> emerge como una herramienta pertinente para motivar el desarrollo de contenidos y la participación de los estudiantes en el aula </w:t>
            </w:r>
            <w:r>
              <w:rPr>
                <w:color w:val="auto"/>
                <w:sz w:val="24"/>
                <w:szCs w:val="24"/>
              </w:rPr>
              <w:fldChar w:fldCharType="begin"/>
            </w:r>
            <w:r>
              <w:rPr>
                <w:color w:val="auto"/>
                <w:sz w:val="24"/>
                <w:szCs w:val="24"/>
              </w:rPr>
              <w:instrText xml:space="preserve"> ADDIN ZOTERO_ITEM CSL_CITATION {"citationID":"PNZT2NSY","properties":{"formattedCitation":"(Villalustre &amp; Del Moral, 2015)","plainCitation":"(Villalustre &amp; Del Moral, 2015)"},"citationItems":[{"id":2223,"uris":["http://zotero.org/users/2983295/items/B6K9C9CS"],"uri":["http://zotero.org/users/2983295/items/B6K9C9CS"],"itemData":{"id":2223,"type":"article-journal","title":"Gamificación: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Pr>
                <w:color w:val="auto"/>
                <w:sz w:val="24"/>
                <w:szCs w:val="24"/>
              </w:rPr>
              <w:fldChar w:fldCharType="separate"/>
            </w:r>
            <w:r>
              <w:rPr>
                <w:color w:val="auto"/>
                <w:sz w:val="24"/>
              </w:rPr>
              <w:t>(</w:t>
            </w:r>
            <w:proofErr w:type="spellStart"/>
            <w:r>
              <w:rPr>
                <w:color w:val="auto"/>
                <w:sz w:val="24"/>
              </w:rPr>
              <w:t>Villalustre</w:t>
            </w:r>
            <w:proofErr w:type="spellEnd"/>
            <w:r>
              <w:rPr>
                <w:color w:val="auto"/>
                <w:sz w:val="24"/>
              </w:rPr>
              <w:t xml:space="preserve"> &amp; D</w:t>
            </w:r>
            <w:bookmarkStart w:id="0" w:name="_GoBack"/>
            <w:bookmarkEnd w:id="0"/>
            <w:r>
              <w:rPr>
                <w:color w:val="auto"/>
                <w:sz w:val="24"/>
              </w:rPr>
              <w:t>el Moral, 2015;</w:t>
            </w:r>
            <w:r>
              <w:rPr>
                <w:color w:val="auto"/>
                <w:sz w:val="24"/>
                <w:szCs w:val="24"/>
              </w:rPr>
              <w:fldChar w:fldCharType="end"/>
            </w:r>
            <w:r>
              <w:rPr>
                <w:color w:val="auto"/>
                <w:sz w:val="24"/>
                <w:szCs w:val="24"/>
              </w:rPr>
              <w:t xml:space="preserve"> </w:t>
            </w:r>
            <w:r>
              <w:rPr>
                <w:color w:val="auto"/>
                <w:sz w:val="24"/>
                <w:szCs w:val="24"/>
              </w:rPr>
              <w:fldChar w:fldCharType="begin"/>
            </w:r>
            <w:r>
              <w:rPr>
                <w:color w:val="auto"/>
                <w:sz w:val="24"/>
                <w:szCs w:val="24"/>
              </w:rPr>
              <w:instrText xml:space="preserve"> ADDIN ZOTERO_ITEM CSL_CITATION {"citationID":"9m1Co6CF","properties":{"formattedCitation":"(Dicheva,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Pr>
                <w:color w:val="auto"/>
                <w:sz w:val="24"/>
                <w:szCs w:val="24"/>
              </w:rPr>
              <w:fldChar w:fldCharType="separate"/>
            </w:r>
            <w:proofErr w:type="spellStart"/>
            <w:r>
              <w:rPr>
                <w:color w:val="auto"/>
                <w:sz w:val="24"/>
                <w:szCs w:val="24"/>
              </w:rPr>
              <w:t>Dicheva</w:t>
            </w:r>
            <w:proofErr w:type="spellEnd"/>
            <w:r>
              <w:rPr>
                <w:color w:val="auto"/>
                <w:sz w:val="24"/>
                <w:szCs w:val="24"/>
              </w:rPr>
              <w:t>, 2015)</w:t>
            </w:r>
            <w:r>
              <w:rPr>
                <w:color w:val="auto"/>
                <w:sz w:val="24"/>
                <w:szCs w:val="24"/>
              </w:rPr>
              <w:fldChar w:fldCharType="end"/>
            </w:r>
            <w:r>
              <w:rPr>
                <w:color w:val="auto"/>
                <w:sz w:val="24"/>
                <w:szCs w:val="24"/>
              </w:rPr>
              <w:t>.</w:t>
            </w:r>
          </w:p>
        </w:tc>
      </w:tr>
    </w:tbl>
    <w:p w:rsidR="00A23DB3" w:rsidRDefault="006475C6" w:rsidP="001F6999">
      <w:pPr>
        <w:jc w:val="both"/>
      </w:pPr>
    </w:p>
    <w:sectPr w:rsidR="00A23D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F5547"/>
    <w:multiLevelType w:val="hybridMultilevel"/>
    <w:tmpl w:val="91FCDC30"/>
    <w:lvl w:ilvl="0" w:tplc="9BD0E9D0">
      <w:start w:val="2"/>
      <w:numFmt w:val="bullet"/>
      <w:lvlText w:val="-"/>
      <w:lvlJc w:val="left"/>
      <w:pPr>
        <w:ind w:left="340" w:hanging="360"/>
      </w:pPr>
      <w:rPr>
        <w:rFonts w:ascii="Arial" w:eastAsia="Arial" w:hAnsi="Arial" w:cs="Arial" w:hint="default"/>
      </w:rPr>
    </w:lvl>
    <w:lvl w:ilvl="1" w:tplc="240A0003" w:tentative="1">
      <w:start w:val="1"/>
      <w:numFmt w:val="bullet"/>
      <w:lvlText w:val="o"/>
      <w:lvlJc w:val="left"/>
      <w:pPr>
        <w:ind w:left="1060" w:hanging="360"/>
      </w:pPr>
      <w:rPr>
        <w:rFonts w:ascii="Courier New" w:hAnsi="Courier New" w:cs="Courier New" w:hint="default"/>
      </w:rPr>
    </w:lvl>
    <w:lvl w:ilvl="2" w:tplc="240A0005" w:tentative="1">
      <w:start w:val="1"/>
      <w:numFmt w:val="bullet"/>
      <w:lvlText w:val=""/>
      <w:lvlJc w:val="left"/>
      <w:pPr>
        <w:ind w:left="1780" w:hanging="360"/>
      </w:pPr>
      <w:rPr>
        <w:rFonts w:ascii="Wingdings" w:hAnsi="Wingdings" w:hint="default"/>
      </w:rPr>
    </w:lvl>
    <w:lvl w:ilvl="3" w:tplc="240A0001" w:tentative="1">
      <w:start w:val="1"/>
      <w:numFmt w:val="bullet"/>
      <w:lvlText w:val=""/>
      <w:lvlJc w:val="left"/>
      <w:pPr>
        <w:ind w:left="2500" w:hanging="360"/>
      </w:pPr>
      <w:rPr>
        <w:rFonts w:ascii="Symbol" w:hAnsi="Symbol" w:hint="default"/>
      </w:rPr>
    </w:lvl>
    <w:lvl w:ilvl="4" w:tplc="240A0003" w:tentative="1">
      <w:start w:val="1"/>
      <w:numFmt w:val="bullet"/>
      <w:lvlText w:val="o"/>
      <w:lvlJc w:val="left"/>
      <w:pPr>
        <w:ind w:left="3220" w:hanging="360"/>
      </w:pPr>
      <w:rPr>
        <w:rFonts w:ascii="Courier New" w:hAnsi="Courier New" w:cs="Courier New" w:hint="default"/>
      </w:rPr>
    </w:lvl>
    <w:lvl w:ilvl="5" w:tplc="240A0005" w:tentative="1">
      <w:start w:val="1"/>
      <w:numFmt w:val="bullet"/>
      <w:lvlText w:val=""/>
      <w:lvlJc w:val="left"/>
      <w:pPr>
        <w:ind w:left="3940" w:hanging="360"/>
      </w:pPr>
      <w:rPr>
        <w:rFonts w:ascii="Wingdings" w:hAnsi="Wingdings" w:hint="default"/>
      </w:rPr>
    </w:lvl>
    <w:lvl w:ilvl="6" w:tplc="240A0001" w:tentative="1">
      <w:start w:val="1"/>
      <w:numFmt w:val="bullet"/>
      <w:lvlText w:val=""/>
      <w:lvlJc w:val="left"/>
      <w:pPr>
        <w:ind w:left="4660" w:hanging="360"/>
      </w:pPr>
      <w:rPr>
        <w:rFonts w:ascii="Symbol" w:hAnsi="Symbol" w:hint="default"/>
      </w:rPr>
    </w:lvl>
    <w:lvl w:ilvl="7" w:tplc="240A0003" w:tentative="1">
      <w:start w:val="1"/>
      <w:numFmt w:val="bullet"/>
      <w:lvlText w:val="o"/>
      <w:lvlJc w:val="left"/>
      <w:pPr>
        <w:ind w:left="5380" w:hanging="360"/>
      </w:pPr>
      <w:rPr>
        <w:rFonts w:ascii="Courier New" w:hAnsi="Courier New" w:cs="Courier New" w:hint="default"/>
      </w:rPr>
    </w:lvl>
    <w:lvl w:ilvl="8" w:tplc="240A0005" w:tentative="1">
      <w:start w:val="1"/>
      <w:numFmt w:val="bullet"/>
      <w:lvlText w:val=""/>
      <w:lvlJc w:val="left"/>
      <w:pPr>
        <w:ind w:left="61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73"/>
    <w:rsid w:val="00037C6E"/>
    <w:rsid w:val="00046876"/>
    <w:rsid w:val="00085AC1"/>
    <w:rsid w:val="000F6AE8"/>
    <w:rsid w:val="001A5490"/>
    <w:rsid w:val="001C443D"/>
    <w:rsid w:val="001F6999"/>
    <w:rsid w:val="00244E24"/>
    <w:rsid w:val="0034062F"/>
    <w:rsid w:val="00365ED7"/>
    <w:rsid w:val="003711E5"/>
    <w:rsid w:val="00393A24"/>
    <w:rsid w:val="003B2532"/>
    <w:rsid w:val="003E1019"/>
    <w:rsid w:val="004E31AC"/>
    <w:rsid w:val="0050414F"/>
    <w:rsid w:val="00575637"/>
    <w:rsid w:val="00613655"/>
    <w:rsid w:val="006475C6"/>
    <w:rsid w:val="00710DD9"/>
    <w:rsid w:val="00731AFF"/>
    <w:rsid w:val="00792729"/>
    <w:rsid w:val="008206CC"/>
    <w:rsid w:val="009C3C5E"/>
    <w:rsid w:val="009D66EE"/>
    <w:rsid w:val="00A221A5"/>
    <w:rsid w:val="00AF3785"/>
    <w:rsid w:val="00B73026"/>
    <w:rsid w:val="00BD346B"/>
    <w:rsid w:val="00C273A5"/>
    <w:rsid w:val="00C604F5"/>
    <w:rsid w:val="00D64473"/>
    <w:rsid w:val="00EC0938"/>
    <w:rsid w:val="00ED429A"/>
    <w:rsid w:val="00F102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9AAD8-1295-4259-8025-D99DAF0A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6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273A5"/>
    <w:pPr>
      <w:spacing w:after="0" w:line="276" w:lineRule="auto"/>
    </w:pPr>
    <w:rPr>
      <w:rFonts w:ascii="Arial" w:eastAsia="Arial" w:hAnsi="Arial" w:cs="Arial"/>
      <w:color w:val="000000"/>
      <w:lang w:eastAsia="es-ES"/>
    </w:rPr>
  </w:style>
  <w:style w:type="table" w:customStyle="1" w:styleId="TableNormal">
    <w:name w:val="Table Normal"/>
    <w:rsid w:val="0050414F"/>
    <w:pPr>
      <w:spacing w:after="0" w:line="276" w:lineRule="auto"/>
    </w:pPr>
    <w:rPr>
      <w:rFonts w:ascii="Arial" w:eastAsia="Arial" w:hAnsi="Arial" w:cs="Arial"/>
      <w:color w:val="000000"/>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2952</Words>
  <Characters>16237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 Unidad de Investigación</dc:creator>
  <cp:keywords/>
  <dc:description/>
  <cp:lastModifiedBy>Docentes Unidad de Investigación</cp:lastModifiedBy>
  <cp:revision>6</cp:revision>
  <dcterms:created xsi:type="dcterms:W3CDTF">2017-11-15T16:28:00Z</dcterms:created>
  <dcterms:modified xsi:type="dcterms:W3CDTF">2017-11-21T12:22:00Z</dcterms:modified>
</cp:coreProperties>
</file>